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after="0" w:line="240" w:lineRule="auto"/>
        <w:ind w:left="0" w:right="0" w:firstLine="0"/>
        <w:jc w:val="left"/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</w:rPr>
      </w:pP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6985</wp:posOffset>
            </wp:positionV>
            <wp:extent cx="899795" cy="912495"/>
            <wp:effectExtent l="0" t="0" r="14605" b="1905"/>
            <wp:wrapSquare wrapText="bothSides"/>
            <wp:docPr id="1" name="Picture 1" descr="pal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lec2"/>
                    <pic:cNvPicPr>
                      <a:picLocks noChangeAspect="1"/>
                    </pic:cNvPicPr>
                  </pic:nvPicPr>
                  <pic:blipFill>
                    <a:blip r:embed="rId4"/>
                    <a:srcRect l="11852" t="9772" r="10440" b="11342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</w:rPr>
        <w:t>Kate</w:t>
      </w: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  <w:lang w:val="cs-CZ"/>
        </w:rPr>
        <w:t>ři</w:t>
      </w: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</w:rPr>
        <w:t>na Zanotti</w:t>
      </w:r>
    </w:p>
    <w:p>
      <w:pPr>
        <w:spacing w:before="0" w:after="0" w:line="240" w:lineRule="auto"/>
        <w:ind w:left="0" w:right="0" w:firstLine="0"/>
        <w:jc w:val="left"/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28"/>
          <w:szCs w:val="28"/>
          <w:shd w:val="clear" w:fill="auto"/>
        </w:rPr>
      </w:pP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28"/>
          <w:szCs w:val="28"/>
          <w:shd w:val="clear" w:fill="auto"/>
        </w:rPr>
        <w:t>účetní pro Váš business</w:t>
      </w:r>
    </w:p>
    <w:tbl>
      <w:tblPr>
        <w:tblStyle w:val="3"/>
        <w:tblpPr w:leftFromText="180" w:rightFromText="180" w:vertAnchor="text" w:horzAnchor="page" w:tblpX="1800" w:tblpY="264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24"/>
        <w:gridCol w:w="33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Ceník vybraných účetních prací platný od 1.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8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.20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21; nejsem plátcem DPH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Vedení účetnictví nepodmiňuji minimálním měsíčním paušálem.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Registrace: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k DPH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fyzické osoby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právnické osoby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osoby identifikované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500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Paušál za vedení účetnictví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00 – 1.000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Účetnictví a d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aňová evidence: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Účetní položka - plátce DPH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Účetní položka - neplátce DPH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2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7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2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2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DPH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Kontrolní hlášení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Souhrnné hlášení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dani z příjmů fyzických osob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dani z příjmů právnických osob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silniční dani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Přiznání k dani z příjmu FO ze závislé činnosti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3.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.000 – 7.000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Za čokoládu, lahev vína, podle složitosti za drobný obnos :)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Účetní závěrka podle složitosti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2.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00 – 10.000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Zpracování mezd: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Zaměstnanec na HPP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Zaměstnanec na DPP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Roční daňová zúčtování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Potvrzení o příjmech zaměstnance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 / zaměstnanec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1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25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 / zaměstnanec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2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0 - 500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1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Zastupování před úřady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Příprava dokladů pro kontroly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, registrace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 xml:space="preserve">1.000 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Kč / hodina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1.000–2.000 Kč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,podle složitosti</w:t>
            </w:r>
          </w:p>
        </w:tc>
      </w:tr>
    </w:tbl>
    <w:p>
      <w:pPr>
        <w:spacing w:before="0" w:after="0" w:line="360" w:lineRule="auto"/>
        <w:ind w:left="0" w:right="0" w:firstLine="0"/>
        <w:jc w:val="left"/>
        <w:rPr>
          <w:rFonts w:ascii="Tahoma" w:hAnsi="Tahoma" w:eastAsia="Tahoma" w:cs="Tahoma"/>
          <w:color w:val="auto"/>
          <w:spacing w:val="10"/>
          <w:position w:val="0"/>
          <w:sz w:val="22"/>
          <w:shd w:val="clear" w:fill="auto"/>
        </w:rPr>
      </w:pPr>
    </w:p>
    <w:sectPr>
      <w:pgSz w:w="11906" w:h="16838"/>
      <w:pgMar w:top="1134" w:right="1800" w:bottom="1134" w:left="1800" w:header="720" w:footer="72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281A40FF"/>
    <w:rsid w:val="45F50DDF"/>
    <w:rsid w:val="4BD34DCC"/>
    <w:rsid w:val="51B62ACF"/>
    <w:rsid w:val="52642AEF"/>
    <w:rsid w:val="5CAA29EA"/>
    <w:rsid w:val="70F879B4"/>
    <w:rsid w:val="758B33C5"/>
    <w:rsid w:val="7C006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2021-01-01T10:04:00Z</dcterms:created>
  <dc:creator>Administrator</dc:creator>
  <cp:lastModifiedBy>Administrator</cp:lastModifiedBy>
  <dcterms:modified xsi:type="dcterms:W3CDTF">2021-08-22T08:22:59Z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